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4D205F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>Ata N° 31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CPLJRF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</w:t>
      </w:r>
      <w:r>
        <w:rPr>
          <w:rFonts w:ascii="Tahoma" w:eastAsia="Times New Roman" w:hAnsi="Tahoma" w:cs="Tahoma"/>
          <w:sz w:val="24"/>
          <w:szCs w:val="24"/>
          <w:lang w:val="pt-BR" w:eastAsia="pt-BR"/>
        </w:rPr>
        <w:t>27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/10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906F28" w:rsidRPr="003D0F33" w:rsidRDefault="00A06545" w:rsidP="004D205F">
      <w:pPr>
        <w:jc w:val="both"/>
        <w:rPr>
          <w:rFonts w:ascii="Tahoma" w:hAnsi="Tahoma" w:cs="Tahoma"/>
          <w:sz w:val="23"/>
          <w:szCs w:val="23"/>
          <w:lang w:val="pt-BR" w:eastAsia="pt-BR"/>
        </w:rPr>
      </w:pPr>
      <w:r w:rsidRPr="003D0F33">
        <w:rPr>
          <w:rFonts w:ascii="Tahoma" w:hAnsi="Tahoma" w:cs="Tahoma"/>
          <w:sz w:val="23"/>
          <w:szCs w:val="23"/>
          <w:lang w:val="pt-BR" w:eastAsia="pt-BR"/>
        </w:rPr>
        <w:t xml:space="preserve">Ata 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>31</w:t>
      </w:r>
      <w:r w:rsidR="00973FAF" w:rsidRPr="003D0F33">
        <w:rPr>
          <w:rFonts w:ascii="Tahoma" w:hAnsi="Tahoma" w:cs="Tahoma"/>
          <w:sz w:val="23"/>
          <w:szCs w:val="23"/>
          <w:lang w:val="pt-BR" w:eastAsia="pt-BR"/>
        </w:rPr>
        <w:t>º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 Reunião Ordinária Conjunta das Comissões Permanentes de Legislação, Justiça e Redação Final; Obras e Serviços Públicos; de Educação,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Saúde e Assistência Social; e de Finanças e Orçamento, sob a presidência do vereador </w:t>
      </w:r>
      <w:r w:rsidR="000875DC" w:rsidRPr="003D0F33">
        <w:rPr>
          <w:rFonts w:ascii="Tahoma" w:hAnsi="Tahoma" w:cs="Tahoma"/>
          <w:sz w:val="23"/>
          <w:szCs w:val="23"/>
          <w:lang w:val="pt-BR" w:eastAsia="pt-BR"/>
        </w:rPr>
        <w:t>Paulo Roberto Duarte Bezerra, President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e da Comissão Permanente de Legislação, Justiça e Redação Final, com a presença dos vereadores, </w:t>
      </w:r>
      <w:r w:rsidR="00DA4C47" w:rsidRPr="003D0F33">
        <w:rPr>
          <w:rFonts w:ascii="Tahoma" w:hAnsi="Tahoma" w:cs="Tahoma"/>
          <w:sz w:val="23"/>
          <w:szCs w:val="23"/>
          <w:lang w:val="pt-BR" w:eastAsia="pt-BR"/>
        </w:rPr>
        <w:t>Antônio Damião Martins,</w:t>
      </w:r>
      <w:r w:rsidR="00A435E2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>Edimar Kapiche Luciano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proofErr w:type="spellStart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Josisvan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Coelho de Almeida, Lauro Costa Kloch, </w:t>
      </w:r>
      <w:r w:rsidR="002671D1" w:rsidRPr="003D0F33">
        <w:rPr>
          <w:rFonts w:ascii="Tahoma" w:hAnsi="Tahoma" w:cs="Tahoma"/>
          <w:sz w:val="23"/>
          <w:szCs w:val="23"/>
          <w:lang w:val="pt-BR" w:eastAsia="pt-BR"/>
        </w:rPr>
        <w:t>Luiz Antônio Nascimento Fritz,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56206" w:rsidRPr="003D0F33">
        <w:rPr>
          <w:rFonts w:ascii="Tahoma" w:hAnsi="Tahoma" w:cs="Tahoma"/>
          <w:sz w:val="23"/>
          <w:szCs w:val="23"/>
          <w:lang w:val="pt-BR" w:eastAsia="pt-BR"/>
        </w:rPr>
        <w:t xml:space="preserve">Paulo Henrique dos </w:t>
      </w:r>
      <w:proofErr w:type="gramStart"/>
      <w:r w:rsidR="00456206" w:rsidRPr="003D0F33">
        <w:rPr>
          <w:rFonts w:ascii="Tahoma" w:hAnsi="Tahoma" w:cs="Tahoma"/>
          <w:sz w:val="23"/>
          <w:szCs w:val="23"/>
          <w:lang w:val="pt-BR" w:eastAsia="pt-BR"/>
        </w:rPr>
        <w:t>Santos Silva</w:t>
      </w:r>
      <w:proofErr w:type="gramEnd"/>
      <w:r w:rsidR="00456206" w:rsidRPr="003D0F33">
        <w:rPr>
          <w:rFonts w:ascii="Tahoma" w:hAnsi="Tahoma" w:cs="Tahoma"/>
          <w:sz w:val="23"/>
          <w:szCs w:val="23"/>
          <w:lang w:val="pt-BR" w:eastAsia="pt-BR"/>
        </w:rPr>
        <w:t xml:space="preserve"> e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>membros das comissões</w:t>
      </w:r>
      <w:r w:rsidR="00522B7E" w:rsidRPr="003D0F33">
        <w:rPr>
          <w:rFonts w:ascii="Tahoma" w:hAnsi="Tahoma" w:cs="Tahoma"/>
          <w:sz w:val="23"/>
          <w:szCs w:val="23"/>
          <w:lang w:val="pt-BR" w:eastAsia="pt-BR"/>
        </w:rPr>
        <w:t>.</w:t>
      </w:r>
      <w:r w:rsidR="0069710A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Ausentes os vereadores 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Ezequiel </w:t>
      </w:r>
      <w:proofErr w:type="spellStart"/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>Camara</w:t>
      </w:r>
      <w:proofErr w:type="spellEnd"/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Magnison da Silva Mota e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Romeu Rodrigues Moreira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Es</w:t>
      </w:r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 xml:space="preserve">tiveram presentes ainda a esta reunião, a Sra. Joyce Rodrigues Viana, Diretora das Comissões, o Sr. Willian </w:t>
      </w:r>
      <w:proofErr w:type="spellStart"/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>Ortolan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Cordeiro, Diretor Legislativo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906F28" w:rsidRPr="003D0F33">
        <w:rPr>
          <w:rFonts w:ascii="Tahoma" w:hAnsi="Tahoma" w:cs="Tahoma"/>
          <w:sz w:val="23"/>
          <w:szCs w:val="23"/>
        </w:rPr>
        <w:t>assessores de vereadores</w:t>
      </w:r>
      <w:r w:rsidR="00906F28" w:rsidRPr="003D0F33">
        <w:rPr>
          <w:rFonts w:ascii="Tahoma" w:hAnsi="Tahoma" w:cs="Tahoma"/>
          <w:sz w:val="23"/>
          <w:szCs w:val="23"/>
        </w:rPr>
        <w:t xml:space="preserve"> e convidados</w:t>
      </w:r>
      <w:r w:rsidR="00906F28" w:rsidRPr="003D0F33">
        <w:rPr>
          <w:rFonts w:ascii="Tahoma" w:hAnsi="Tahoma" w:cs="Tahoma"/>
          <w:sz w:val="23"/>
          <w:szCs w:val="23"/>
        </w:rPr>
        <w:t xml:space="preserve"> conforme lista de presença em anexo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Projetos de Leis que foram discutidos: </w:t>
      </w:r>
      <w:r w:rsidR="004D205F" w:rsidRPr="003D0F33">
        <w:rPr>
          <w:rFonts w:ascii="Tahoma" w:hAnsi="Tahoma" w:cs="Tahoma"/>
          <w:b/>
          <w:sz w:val="23"/>
          <w:szCs w:val="23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</w:rPr>
        <w:t>180/2022</w:t>
      </w:r>
      <w:r w:rsidR="004D205F" w:rsidRPr="003D0F33">
        <w:rPr>
          <w:rFonts w:ascii="Tahoma" w:hAnsi="Tahoma" w:cs="Tahoma"/>
          <w:sz w:val="23"/>
          <w:szCs w:val="23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</w:rPr>
        <w:t xml:space="preserve">DISPÕE SOBRE ABERTURA DE CRÉDITO ADICIONAL SUPLEMENTAR AO ORÇAMENTO VIGENTE E DÁ OUTRAS </w:t>
      </w:r>
      <w:r w:rsidR="004D205F" w:rsidRPr="003D0F33">
        <w:rPr>
          <w:rFonts w:ascii="Tahoma" w:hAnsi="Tahoma" w:cs="Tahoma"/>
          <w:sz w:val="23"/>
          <w:szCs w:val="23"/>
        </w:rPr>
        <w:t xml:space="preserve">PROVIDÊNCIAS” (R$ 606.983,22 FMS); </w:t>
      </w:r>
      <w:r w:rsidR="004D205F" w:rsidRPr="003D0F33">
        <w:rPr>
          <w:rFonts w:ascii="Tahoma" w:hAnsi="Tahoma" w:cs="Tahoma"/>
          <w:b/>
          <w:sz w:val="23"/>
          <w:szCs w:val="23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</w:rPr>
        <w:t>181/2022</w:t>
      </w:r>
      <w:r w:rsidR="004D205F" w:rsidRPr="003D0F33">
        <w:rPr>
          <w:rFonts w:ascii="Tahoma" w:hAnsi="Tahoma" w:cs="Tahoma"/>
          <w:sz w:val="23"/>
          <w:szCs w:val="23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</w:rPr>
        <w:t xml:space="preserve">DISPÕE SOBRE ABERTURA DE CRÉDITO ESPECIAL AO ORÇAMENTO VIGENTE E DÁ OUTRAS </w:t>
      </w:r>
      <w:r w:rsidR="004D205F" w:rsidRPr="003D0F33">
        <w:rPr>
          <w:rFonts w:ascii="Tahoma" w:hAnsi="Tahoma" w:cs="Tahoma"/>
          <w:sz w:val="23"/>
          <w:szCs w:val="23"/>
        </w:rPr>
        <w:t xml:space="preserve">PROVIDÊNCIAS” (R$ 426.452,24 SEMOSP); </w:t>
      </w:r>
      <w:r w:rsidR="004D205F" w:rsidRPr="003D0F33">
        <w:rPr>
          <w:rFonts w:ascii="Tahoma" w:hAnsi="Tahoma" w:cs="Tahoma"/>
          <w:b/>
          <w:sz w:val="23"/>
          <w:szCs w:val="23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</w:rPr>
        <w:t>182/2022</w:t>
      </w:r>
      <w:r w:rsidR="004D205F" w:rsidRPr="003D0F33">
        <w:rPr>
          <w:rFonts w:ascii="Tahoma" w:hAnsi="Tahoma" w:cs="Tahoma"/>
          <w:sz w:val="23"/>
          <w:szCs w:val="23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</w:rPr>
        <w:t xml:space="preserve">DISPÕE SOBRE ABERTURA DE CRÉDITO ADICIONAL SUPLEMENTAR AO ORÇAMENTO VIGENTE E DÁ OUTRAS </w:t>
      </w:r>
      <w:r w:rsidR="004D205F" w:rsidRPr="003D0F33">
        <w:rPr>
          <w:rFonts w:ascii="Tahoma" w:hAnsi="Tahoma" w:cs="Tahoma"/>
          <w:sz w:val="23"/>
          <w:szCs w:val="23"/>
        </w:rPr>
        <w:t>PROVIDÊNCIAS” (</w:t>
      </w:r>
      <w:r w:rsidR="00906F28" w:rsidRPr="003D0F33">
        <w:rPr>
          <w:rFonts w:ascii="Tahoma" w:hAnsi="Tahoma" w:cs="Tahoma"/>
          <w:sz w:val="23"/>
          <w:szCs w:val="23"/>
        </w:rPr>
        <w:t>R$ 1.140.000,00 SEMED/FUNDEB</w:t>
      </w:r>
      <w:r w:rsidR="004D205F" w:rsidRPr="003D0F33">
        <w:rPr>
          <w:rFonts w:ascii="Tahoma" w:hAnsi="Tahoma" w:cs="Tahoma"/>
          <w:sz w:val="23"/>
          <w:szCs w:val="23"/>
        </w:rPr>
        <w:t xml:space="preserve">); </w:t>
      </w:r>
      <w:r w:rsidR="004D205F" w:rsidRPr="003D0F33">
        <w:rPr>
          <w:rFonts w:ascii="Tahoma" w:hAnsi="Tahoma" w:cs="Tahoma"/>
          <w:b/>
          <w:sz w:val="23"/>
          <w:szCs w:val="23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</w:rPr>
        <w:t>183/2022</w:t>
      </w:r>
      <w:r w:rsidR="004D205F" w:rsidRPr="003D0F33">
        <w:rPr>
          <w:rFonts w:ascii="Tahoma" w:hAnsi="Tahoma" w:cs="Tahoma"/>
          <w:sz w:val="23"/>
          <w:szCs w:val="23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</w:rPr>
        <w:t xml:space="preserve">DISPÕE SOBRE REFORMULAÇÃO ADMINISTRATIVA AO ORÇAMENTO VIGENTE POR MEIO DE TRANSPOSIÇÃO E DÁ OUTRAS </w:t>
      </w:r>
      <w:r w:rsidR="004D205F" w:rsidRPr="003D0F33">
        <w:rPr>
          <w:rFonts w:ascii="Tahoma" w:hAnsi="Tahoma" w:cs="Tahoma"/>
          <w:sz w:val="23"/>
          <w:szCs w:val="23"/>
        </w:rPr>
        <w:t>PROVIDÊNCIAS” (</w:t>
      </w:r>
      <w:r w:rsidR="00906F28" w:rsidRPr="003D0F33">
        <w:rPr>
          <w:rFonts w:ascii="Tahoma" w:hAnsi="Tahoma" w:cs="Tahoma"/>
          <w:sz w:val="23"/>
          <w:szCs w:val="23"/>
        </w:rPr>
        <w:t>R$ 1.074.995,64 SEMED</w:t>
      </w:r>
      <w:r w:rsidR="004D205F" w:rsidRPr="003D0F33">
        <w:rPr>
          <w:rFonts w:ascii="Tahoma" w:hAnsi="Tahoma" w:cs="Tahoma"/>
          <w:sz w:val="23"/>
          <w:szCs w:val="23"/>
        </w:rPr>
        <w:t xml:space="preserve">); </w:t>
      </w:r>
      <w:r w:rsidR="004D205F" w:rsidRPr="003D0F33">
        <w:rPr>
          <w:rFonts w:ascii="Tahoma" w:hAnsi="Tahoma" w:cs="Tahoma"/>
          <w:b/>
          <w:sz w:val="23"/>
          <w:szCs w:val="23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</w:rPr>
        <w:t>184/2022</w:t>
      </w:r>
      <w:r w:rsidR="004D205F" w:rsidRPr="003D0F33">
        <w:rPr>
          <w:rFonts w:ascii="Tahoma" w:hAnsi="Tahoma" w:cs="Tahoma"/>
          <w:sz w:val="23"/>
          <w:szCs w:val="23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</w:rPr>
        <w:t xml:space="preserve">DENOMINA AS VIAS PÚBLICAS 10 E 11, LOCALIZADAS NO BAIRRO HABITAR </w:t>
      </w:r>
      <w:r w:rsidR="004D205F" w:rsidRPr="003D0F33">
        <w:rPr>
          <w:rFonts w:ascii="Tahoma" w:hAnsi="Tahoma" w:cs="Tahoma"/>
          <w:sz w:val="23"/>
          <w:szCs w:val="23"/>
        </w:rPr>
        <w:t xml:space="preserve">BRASIL E DÁ OUTRAS PROVIDÊNCIAS”; </w:t>
      </w:r>
      <w:r w:rsidR="004D205F" w:rsidRPr="003D0F33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  <w:lang w:val="pt-BR" w:eastAsia="pt-BR"/>
        </w:rPr>
        <w:t>187/2022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DISPÕE SOBRE ABERTURA DE CRÉDITO ESPECIAL AO ORÇAMENTO VIGENTE E DÁ OUTRAS 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PROVIDÊNCIAS” </w:t>
      </w:r>
      <w:proofErr w:type="gramStart"/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( </w:t>
      </w:r>
      <w:proofErr w:type="gramEnd"/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R$ 472.984,41 FUNDEB; </w:t>
      </w:r>
      <w:r w:rsidR="004D205F" w:rsidRPr="003D0F33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  <w:lang w:val="pt-BR" w:eastAsia="pt-BR"/>
        </w:rPr>
        <w:t>188/2022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ALTERA A LEI N. 2.735/PMC/2010, QUE DISPÕE SOBRE O PLANO DE CARGO, CARREIRA E REMUNERAÇÃO DOS SERVIDORES PÚBLICOS MUNI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CIPAIS E DÁ OUTRAS PROVIDÊNCIAS”; </w:t>
      </w:r>
      <w:r w:rsidR="004D205F" w:rsidRPr="003D0F33">
        <w:rPr>
          <w:rFonts w:ascii="Tahoma" w:hAnsi="Tahoma" w:cs="Tahoma"/>
          <w:b/>
          <w:sz w:val="23"/>
          <w:szCs w:val="23"/>
          <w:lang w:val="pt-BR" w:eastAsia="pt-BR"/>
        </w:rPr>
        <w:t xml:space="preserve">N. </w:t>
      </w:r>
      <w:r w:rsidR="00906F28" w:rsidRPr="003D0F33">
        <w:rPr>
          <w:rFonts w:ascii="Tahoma" w:hAnsi="Tahoma" w:cs="Tahoma"/>
          <w:b/>
          <w:sz w:val="23"/>
          <w:szCs w:val="23"/>
          <w:lang w:val="pt-BR" w:eastAsia="pt-BR"/>
        </w:rPr>
        <w:t>190/2022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 “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DISPÕE SOBRE ABERTURA DE CRÉDITO ADICIONAL SUPLEMENTAR AO ORÇAMENTO VIGENTE E DÁ OUTRAS 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>PROVIDÊNCIAS” (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R$ 288.822,18 FUNDEB)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De comum acordo, entre os membros presentes das Comissões, houveram por bem emitir pareceres conjunto favoráveis ao</w:t>
      </w:r>
      <w:r w:rsidR="004D205F" w:rsidRPr="003D0F33">
        <w:rPr>
          <w:rFonts w:ascii="Tahoma" w:hAnsi="Tahoma" w:cs="Tahoma"/>
          <w:sz w:val="23"/>
          <w:szCs w:val="23"/>
          <w:lang w:val="pt-BR" w:eastAsia="pt-BR"/>
        </w:rPr>
        <w:t xml:space="preserve">s Projetos de Leis.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Sendo assim, o Presidente Paulo Roberto Duarte Bezerra, nada mais havendo a tratar, declarou encerrada a presente reunião, às 09h45, mandando que se lavrasse esta ata, que vai, após lida e discutida, assinada pelos membros das Comissões.</w:t>
      </w:r>
    </w:p>
    <w:p w:rsidR="00906F28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ab/>
      </w:r>
    </w:p>
    <w:p w:rsidR="003D0F33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3D0F33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3D0F33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3D0F33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69417C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36229C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36229C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E9739A" w:rsidRPr="0036229C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 </w:t>
      </w: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5C1AD7" w:rsidP="003D0F33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Paulo Henrique dos </w:t>
      </w:r>
      <w:proofErr w:type="gramStart"/>
      <w:r>
        <w:rPr>
          <w:rFonts w:ascii="Tahoma" w:hAnsi="Tahoma" w:cs="Tahoma"/>
          <w:b/>
          <w:sz w:val="20"/>
          <w:szCs w:val="20"/>
          <w:lang w:val="pt-BR"/>
        </w:rPr>
        <w:t>Santos Silva</w:t>
      </w:r>
      <w:proofErr w:type="gramEnd"/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69417C">
        <w:rPr>
          <w:rFonts w:ascii="Tahoma" w:hAnsi="Tahoma" w:cs="Tahoma"/>
          <w:sz w:val="20"/>
          <w:szCs w:val="20"/>
          <w:lang w:val="pt-BR"/>
        </w:rPr>
        <w:t>–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Membro</w:t>
      </w:r>
      <w:r>
        <w:rPr>
          <w:rFonts w:ascii="Tahoma" w:hAnsi="Tahoma" w:cs="Tahoma"/>
          <w:sz w:val="20"/>
          <w:szCs w:val="20"/>
          <w:lang w:val="pt-BR"/>
        </w:rPr>
        <w:t xml:space="preserve">                  </w:t>
      </w:r>
      <w:r w:rsidR="0069417C">
        <w:rPr>
          <w:rFonts w:ascii="Tahoma" w:hAnsi="Tahoma" w:cs="Tahoma"/>
          <w:sz w:val="20"/>
          <w:szCs w:val="20"/>
          <w:lang w:val="pt-BR"/>
        </w:rPr>
        <w:t xml:space="preserve">  </w:t>
      </w:r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 xml:space="preserve">                     </w:t>
      </w: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C2691F" w:rsidRDefault="004D205F" w:rsidP="003D0F33">
      <w:pPr>
        <w:rPr>
          <w:rFonts w:ascii="Tahoma" w:hAnsi="Tahoma" w:cs="Tahoma"/>
          <w:sz w:val="20"/>
          <w:szCs w:val="20"/>
          <w:lang w:val="pt-BR"/>
        </w:rPr>
      </w:pPr>
      <w:r w:rsidRPr="004D205F">
        <w:rPr>
          <w:rFonts w:ascii="Tahoma" w:hAnsi="Tahoma" w:cs="Tahoma"/>
          <w:b/>
          <w:sz w:val="20"/>
          <w:szCs w:val="20"/>
          <w:lang w:val="pt-BR"/>
        </w:rPr>
        <w:t>Romeu Rodrigues Moreira</w:t>
      </w:r>
      <w:r>
        <w:rPr>
          <w:rFonts w:ascii="Tahoma" w:hAnsi="Tahoma" w:cs="Tahoma"/>
          <w:sz w:val="20"/>
          <w:szCs w:val="20"/>
          <w:lang w:val="pt-BR"/>
        </w:rPr>
        <w:t xml:space="preserve"> – Membro </w:t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  <w:t xml:space="preserve">                           </w:t>
      </w:r>
      <w:r w:rsidR="00C2691F">
        <w:rPr>
          <w:rFonts w:ascii="Tahoma" w:hAnsi="Tahoma" w:cs="Tahoma"/>
          <w:b/>
          <w:sz w:val="20"/>
          <w:szCs w:val="20"/>
          <w:lang w:val="pt-BR"/>
        </w:rPr>
        <w:t>Lauro Costa Kloch</w:t>
      </w:r>
      <w:r w:rsidR="00C2691F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C2691F" w:rsidRDefault="00C2691F" w:rsidP="003D0F33">
      <w:pPr>
        <w:rPr>
          <w:rFonts w:ascii="Tahoma" w:hAnsi="Tahoma" w:cs="Tahoma"/>
          <w:sz w:val="20"/>
          <w:szCs w:val="20"/>
          <w:lang w:val="pt-BR"/>
        </w:rPr>
      </w:pPr>
    </w:p>
    <w:p w:rsidR="003D0F33" w:rsidRDefault="003D0F33" w:rsidP="003D0F33">
      <w:pPr>
        <w:rPr>
          <w:rFonts w:ascii="Tahoma" w:hAnsi="Tahoma" w:cs="Tahoma"/>
          <w:b/>
          <w:sz w:val="20"/>
          <w:szCs w:val="20"/>
          <w:lang w:val="pt-BR"/>
        </w:rPr>
      </w:pPr>
    </w:p>
    <w:p w:rsidR="00C2691F" w:rsidRPr="0036229C" w:rsidRDefault="00C2691F" w:rsidP="003D0F33">
      <w:pPr>
        <w:rPr>
          <w:rFonts w:ascii="Tahoma" w:hAnsi="Tahoma" w:cs="Tahoma"/>
          <w:sz w:val="20"/>
          <w:szCs w:val="20"/>
          <w:lang w:val="pt-BR"/>
        </w:rPr>
      </w:pP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>
        <w:rPr>
          <w:rFonts w:ascii="Tahoma" w:hAnsi="Tahoma" w:cs="Tahoma"/>
          <w:b/>
          <w:sz w:val="20"/>
          <w:szCs w:val="20"/>
          <w:lang w:val="pt-BR"/>
        </w:rPr>
        <w:t xml:space="preserve"> Coelho de Almeida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bookmarkStart w:id="0" w:name="_GoBack"/>
      <w:bookmarkEnd w:id="0"/>
    </w:p>
    <w:sectPr w:rsidR="00C2691F" w:rsidRPr="0036229C" w:rsidSect="003D0F33">
      <w:headerReference w:type="default" r:id="rId7"/>
      <w:footerReference w:type="default" r:id="rId8"/>
      <w:pgSz w:w="11900" w:h="16820"/>
      <w:pgMar w:top="0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E9D7C1" wp14:editId="4F06D20A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0F33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0F33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B4BC0C" wp14:editId="579F0035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F965B4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F9276" wp14:editId="3A427D8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3D58007" wp14:editId="509D4EEE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F965B4">
    <w:pPr>
      <w:pStyle w:val="Corpodetexto"/>
      <w:spacing w:line="14" w:lineRule="auto"/>
    </w:pPr>
  </w:p>
  <w:p w:rsidR="000D7736" w:rsidRDefault="00F965B4">
    <w:pPr>
      <w:pStyle w:val="Corpodetexto"/>
      <w:spacing w:line="14" w:lineRule="auto"/>
    </w:pPr>
  </w:p>
  <w:p w:rsidR="000D7736" w:rsidRDefault="00F965B4">
    <w:pPr>
      <w:pStyle w:val="Corpodetexto"/>
      <w:spacing w:line="14" w:lineRule="auto"/>
    </w:pPr>
  </w:p>
  <w:p w:rsidR="000D7736" w:rsidRDefault="00F965B4">
    <w:pPr>
      <w:pStyle w:val="Corpodetexto"/>
      <w:spacing w:line="14" w:lineRule="auto"/>
    </w:pPr>
  </w:p>
  <w:p w:rsidR="000D7736" w:rsidRDefault="00F965B4">
    <w:pPr>
      <w:pStyle w:val="Corpodetexto"/>
      <w:spacing w:line="14" w:lineRule="auto"/>
    </w:pPr>
  </w:p>
  <w:p w:rsidR="000D7736" w:rsidRDefault="00F965B4">
    <w:pPr>
      <w:pStyle w:val="Corpodetexto"/>
      <w:spacing w:line="14" w:lineRule="auto"/>
    </w:pPr>
  </w:p>
  <w:p w:rsidR="006D60C6" w:rsidRDefault="00F965B4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F649A"/>
    <w:rsid w:val="00117BA0"/>
    <w:rsid w:val="00177D8F"/>
    <w:rsid w:val="001973F7"/>
    <w:rsid w:val="002241E7"/>
    <w:rsid w:val="00224F28"/>
    <w:rsid w:val="002671D1"/>
    <w:rsid w:val="002D0B2F"/>
    <w:rsid w:val="002E74DE"/>
    <w:rsid w:val="00306544"/>
    <w:rsid w:val="0036229C"/>
    <w:rsid w:val="0037588E"/>
    <w:rsid w:val="003D0F33"/>
    <w:rsid w:val="00417EA7"/>
    <w:rsid w:val="00456206"/>
    <w:rsid w:val="004719FE"/>
    <w:rsid w:val="004A0C91"/>
    <w:rsid w:val="004B2B16"/>
    <w:rsid w:val="004D0663"/>
    <w:rsid w:val="004D205F"/>
    <w:rsid w:val="004F2EFE"/>
    <w:rsid w:val="00505C7A"/>
    <w:rsid w:val="00522B7E"/>
    <w:rsid w:val="005320A9"/>
    <w:rsid w:val="00552082"/>
    <w:rsid w:val="00562A5B"/>
    <w:rsid w:val="005C1AD7"/>
    <w:rsid w:val="00620BA1"/>
    <w:rsid w:val="006506FF"/>
    <w:rsid w:val="006644A9"/>
    <w:rsid w:val="0069417C"/>
    <w:rsid w:val="0069710A"/>
    <w:rsid w:val="0069768A"/>
    <w:rsid w:val="006B6BEE"/>
    <w:rsid w:val="006D63FF"/>
    <w:rsid w:val="00713EE3"/>
    <w:rsid w:val="007E7E2A"/>
    <w:rsid w:val="00867C59"/>
    <w:rsid w:val="00906F28"/>
    <w:rsid w:val="00930BAA"/>
    <w:rsid w:val="0093149B"/>
    <w:rsid w:val="00973FAF"/>
    <w:rsid w:val="00976D2E"/>
    <w:rsid w:val="00A04908"/>
    <w:rsid w:val="00A06545"/>
    <w:rsid w:val="00A10553"/>
    <w:rsid w:val="00A345B3"/>
    <w:rsid w:val="00A435E2"/>
    <w:rsid w:val="00A65BE6"/>
    <w:rsid w:val="00A65F6A"/>
    <w:rsid w:val="00A669F4"/>
    <w:rsid w:val="00AA3F96"/>
    <w:rsid w:val="00B17DA8"/>
    <w:rsid w:val="00B23292"/>
    <w:rsid w:val="00B27234"/>
    <w:rsid w:val="00BA57D9"/>
    <w:rsid w:val="00BC1654"/>
    <w:rsid w:val="00C2691F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3</cp:revision>
  <cp:lastPrinted>2022-10-31T14:09:00Z</cp:lastPrinted>
  <dcterms:created xsi:type="dcterms:W3CDTF">2022-10-31T14:07:00Z</dcterms:created>
  <dcterms:modified xsi:type="dcterms:W3CDTF">2022-10-31T14:49:00Z</dcterms:modified>
</cp:coreProperties>
</file>